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A0" w:rsidRPr="00DE2106" w:rsidRDefault="00FB00A0" w:rsidP="00FB00A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FB00A0" w:rsidRPr="00DE2106" w:rsidRDefault="00FB00A0" w:rsidP="00FB00A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8年11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>
        <w:rPr>
          <w:rFonts w:ascii="彩虹粗仿宋" w:eastAsia="彩虹粗仿宋" w:hAnsi="宋体" w:hint="eastAsia"/>
          <w:color w:val="000000"/>
          <w:szCs w:val="21"/>
        </w:rPr>
        <w:t>6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FB00A0" w:rsidRPr="00DE2106" w:rsidRDefault="00FB00A0" w:rsidP="00FB00A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满溢足”净值型人民币理财产品于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6"/>
          <w:attr w:name="Year" w:val="2014"/>
        </w:smartTagPr>
        <w:r w:rsidRPr="00DE2106">
          <w:rPr>
            <w:rFonts w:ascii="彩虹粗仿宋" w:eastAsia="彩虹粗仿宋" w:hAnsi="宋体" w:hint="eastAsia"/>
            <w:color w:val="000000"/>
            <w:sz w:val="28"/>
            <w:szCs w:val="28"/>
          </w:rPr>
          <w:t>2014年6月11日</w:t>
        </w:r>
      </w:smartTag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8"/>
          <w:attr w:name="Year" w:val="2014"/>
        </w:smartTagPr>
        <w:r>
          <w:rPr>
            <w:rFonts w:ascii="彩虹粗仿宋" w:eastAsia="彩虹粗仿宋" w:hAnsi="宋体" w:hint="eastAsia"/>
            <w:color w:val="000000"/>
            <w:sz w:val="28"/>
            <w:szCs w:val="28"/>
          </w:rPr>
          <w:t>8月11日</w:t>
        </w:r>
      </w:smartTag>
      <w:r>
        <w:rPr>
          <w:rFonts w:ascii="彩虹粗仿宋" w:eastAsia="彩虹粗仿宋" w:hAnsi="宋体" w:hint="eastAsia"/>
          <w:color w:val="000000"/>
          <w:sz w:val="28"/>
          <w:szCs w:val="28"/>
        </w:rPr>
        <w:t>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 w:rsidRPr="00DA7140">
        <w:rPr>
          <w:rFonts w:ascii="彩虹粗仿宋" w:eastAsia="彩虹粗仿宋" w:hAnsi="宋体" w:hint="eastAsia"/>
          <w:color w:val="000000"/>
          <w:sz w:val="28"/>
          <w:szCs w:val="28"/>
        </w:rPr>
        <w:t>实收资本</w:t>
      </w:r>
      <w:r w:rsidRPr="00A63CE1">
        <w:rPr>
          <w:rFonts w:ascii="彩虹粗仿宋" w:eastAsia="彩虹粗仿宋" w:hAnsi="宋体"/>
          <w:color w:val="000000"/>
          <w:sz w:val="28"/>
          <w:szCs w:val="28"/>
        </w:rPr>
        <w:t>195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,</w:t>
      </w:r>
      <w:r w:rsidRPr="00A63CE1">
        <w:rPr>
          <w:rFonts w:ascii="彩虹粗仿宋" w:eastAsia="彩虹粗仿宋" w:hAnsi="宋体"/>
          <w:color w:val="000000"/>
          <w:sz w:val="28"/>
          <w:szCs w:val="28"/>
        </w:rPr>
        <w:t>276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,</w:t>
      </w:r>
      <w:r w:rsidRPr="00A63CE1">
        <w:rPr>
          <w:rFonts w:ascii="彩虹粗仿宋" w:eastAsia="彩虹粗仿宋" w:hAnsi="宋体"/>
          <w:color w:val="000000"/>
          <w:sz w:val="28"/>
          <w:szCs w:val="28"/>
        </w:rPr>
        <w:t>826.48</w:t>
      </w:r>
      <w:r w:rsidRPr="00DA7140">
        <w:rPr>
          <w:rFonts w:ascii="彩虹粗仿宋" w:eastAsia="彩虹粗仿宋" w:hAnsi="宋体" w:hint="eastAsia"/>
          <w:color w:val="00000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FB00A0" w:rsidRPr="00DE2106" w:rsidRDefault="00FB00A0" w:rsidP="00FB00A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FB00A0" w:rsidRPr="00DE2106" w:rsidRDefault="00FB00A0" w:rsidP="00FB00A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截至2018年10月31日，产品单位净值为</w:t>
      </w:r>
      <w:r w:rsidRPr="008776B3">
        <w:rPr>
          <w:rFonts w:ascii="彩虹粗仿宋" w:eastAsia="彩虹粗仿宋" w:hAnsi="宋体"/>
          <w:color w:val="000000"/>
          <w:sz w:val="28"/>
          <w:szCs w:val="28"/>
        </w:rPr>
        <w:t>1.134664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FB00A0" w:rsidRPr="00DE2106" w:rsidRDefault="00FB00A0" w:rsidP="00FB00A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FB00A0" w:rsidRPr="00DE2106" w:rsidRDefault="00FB00A0" w:rsidP="00FB00A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FB00A0" w:rsidRPr="00DE2106" w:rsidRDefault="00FB00A0" w:rsidP="00FB00A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FB00A0" w:rsidRPr="0000530E" w:rsidRDefault="00FB00A0" w:rsidP="00FB00A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截至2018年10月31日，本产品的资金实际全部投资于现金、债券、存单（含存款）和</w:t>
      </w:r>
      <w:proofErr w:type="gramStart"/>
      <w:r>
        <w:rPr>
          <w:rFonts w:ascii="彩虹粗仿宋" w:eastAsia="彩虹粗仿宋" w:hAnsi="宋体" w:hint="eastAsia"/>
          <w:color w:val="000000"/>
          <w:sz w:val="28"/>
          <w:szCs w:val="28"/>
        </w:rPr>
        <w:t>逆回购</w:t>
      </w:r>
      <w:proofErr w:type="gramEnd"/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FB00A0" w:rsidRPr="00DE2106" w:rsidRDefault="00FB00A0" w:rsidP="00FB00A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（二）现金及债券类资产的期限结构</w:t>
      </w:r>
    </w:p>
    <w:p w:rsidR="00FB00A0" w:rsidRDefault="00FB00A0" w:rsidP="00FB00A0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0C8951D4" wp14:editId="0B14E7E5">
            <wp:extent cx="4239895" cy="2361565"/>
            <wp:effectExtent l="0" t="0" r="27305" b="19685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B00A0" w:rsidRPr="00DE2106" w:rsidRDefault="00FB00A0" w:rsidP="00FB00A0">
      <w:pPr>
        <w:jc w:val="center"/>
        <w:rPr>
          <w:rFonts w:ascii="彩虹粗仿宋" w:eastAsia="彩虹粗仿宋"/>
        </w:rPr>
      </w:pPr>
    </w:p>
    <w:p w:rsidR="00FB00A0" w:rsidRPr="00DE2106" w:rsidRDefault="00FB00A0" w:rsidP="00FB00A0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（三）债券类资产的评级构成</w:t>
      </w:r>
    </w:p>
    <w:p w:rsidR="00FB00A0" w:rsidRPr="00DE2106" w:rsidRDefault="00FB00A0" w:rsidP="00FB00A0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C10E04F" wp14:editId="6E79FF4D">
            <wp:extent cx="4239895" cy="2361565"/>
            <wp:effectExtent l="0" t="0" r="27305" b="19685"/>
            <wp:docPr id="2" name="图表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B00A0" w:rsidRPr="00DE2106" w:rsidRDefault="00FB00A0" w:rsidP="00FB00A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B00A0" w:rsidRPr="00DE2106" w:rsidRDefault="00FB00A0" w:rsidP="00FB00A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B00A0" w:rsidRPr="00DE2106" w:rsidRDefault="00FB00A0" w:rsidP="00FB00A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FB00A0" w:rsidRPr="00DE2106" w:rsidRDefault="00FB00A0" w:rsidP="00FB00A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B00A0" w:rsidRPr="00DE2106" w:rsidRDefault="00FB00A0" w:rsidP="00FB00A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B00A0" w:rsidRPr="00DE2106" w:rsidRDefault="00FB00A0" w:rsidP="00FB00A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EE773F" w:rsidRDefault="00EE773F">
      <w:bookmarkStart w:id="0" w:name="_GoBack"/>
      <w:bookmarkEnd w:id="0"/>
    </w:p>
    <w:sectPr w:rsidR="00EE7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A0"/>
    <w:rsid w:val="00EE773F"/>
    <w:rsid w:val="00FB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00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00A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0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00A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00A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0859;&#39056;&#22235;&#26041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25237;&#36164;\&#20538;&#21048;\63&#20859;&#39056;&#22235;&#26041;\&#21488;&#36134;\&#21488;&#36134;_&#20859;&#39056;&#22235;&#26041;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分布!$B$4:$B$8</c:f>
              <c:strCache>
                <c:ptCount val="5"/>
                <c:pt idx="0">
                  <c:v>半年以内</c:v>
                </c:pt>
                <c:pt idx="1">
                  <c:v>半年至1年</c:v>
                </c:pt>
                <c:pt idx="2">
                  <c:v>1年至3年</c:v>
                </c:pt>
                <c:pt idx="3">
                  <c:v>3年至5年</c:v>
                </c:pt>
                <c:pt idx="4">
                  <c:v>5年以上</c:v>
                </c:pt>
              </c:strCache>
            </c:strRef>
          </c:cat>
          <c:val>
            <c:numRef>
              <c:f>分布!$D$4:$D$8</c:f>
              <c:numCache>
                <c:formatCode>0.0%</c:formatCode>
                <c:ptCount val="5"/>
                <c:pt idx="0">
                  <c:v>0.48216824104338568</c:v>
                </c:pt>
                <c:pt idx="1">
                  <c:v>0</c:v>
                </c:pt>
                <c:pt idx="2">
                  <c:v>0.15016719918736224</c:v>
                </c:pt>
                <c:pt idx="3">
                  <c:v>0</c:v>
                </c:pt>
                <c:pt idx="4">
                  <c:v>0.367664559769252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627447183856163"/>
          <c:y val="0.2268751212291828"/>
          <c:w val="0.25693078426048682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914310916053526E-2"/>
          <c:y val="0.29457259019093435"/>
          <c:w val="0.58343638397658748"/>
          <c:h val="0.38149341172349782"/>
        </c:manualLayout>
      </c:layout>
      <c:pie3DChart>
        <c:varyColors val="1"/>
        <c:ser>
          <c:idx val="1"/>
          <c:order val="0"/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  <c:spPr>
              <a:solidFill>
                <a:srgbClr val="9999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分布!$B$24:$B$26</c:f>
              <c:strCache>
                <c:ptCount val="3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</c:strCache>
            </c:strRef>
          </c:cat>
          <c:val>
            <c:numRef>
              <c:f>分布!$D$24:$D$26</c:f>
              <c:numCache>
                <c:formatCode>0.0%</c:formatCode>
                <c:ptCount val="3"/>
                <c:pt idx="0">
                  <c:v>0.14822218954723762</c:v>
                </c:pt>
                <c:pt idx="1">
                  <c:v>0.74464542958701774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7922402235691757"/>
          <c:y val="0.19464321593161049"/>
          <c:w val="0.14601956230291357"/>
          <c:h val="0.5627127958037494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宋体"/>
              <a:ea typeface="宋体"/>
              <a:cs typeface="宋体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2018-11-06T06:15:00Z</dcterms:created>
  <dcterms:modified xsi:type="dcterms:W3CDTF">2018-11-06T06:16:00Z</dcterms:modified>
</cp:coreProperties>
</file>